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4E8C2" w14:textId="77777777" w:rsidR="002B7443" w:rsidRPr="003B22D2" w:rsidRDefault="002B7443" w:rsidP="00F85CFC">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14:paraId="6B823B6E" w14:textId="77777777"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14:paraId="7E2EECCF" w14:textId="77777777"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14:paraId="693FB928" w14:textId="77777777" w:rsidR="002B7443" w:rsidRDefault="002B7443" w:rsidP="002B7443">
      <w:pPr>
        <w:jc w:val="both"/>
        <w:rPr>
          <w:rFonts w:ascii="Arial" w:hAnsi="Arial" w:cs="Arial"/>
          <w:sz w:val="20"/>
          <w:szCs w:val="20"/>
        </w:rPr>
      </w:pPr>
    </w:p>
    <w:p w14:paraId="4CAF2C64"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14:paraId="7746D1A4"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č. smlouvy </w:t>
      </w:r>
      <w:proofErr w:type="gramStart"/>
      <w:r w:rsidRPr="00F778C2">
        <w:rPr>
          <w:rFonts w:ascii="Arial" w:hAnsi="Arial" w:cs="Arial"/>
          <w:b/>
          <w:sz w:val="19"/>
          <w:szCs w:val="19"/>
        </w:rPr>
        <w:t>zhotovitele:    …</w:t>
      </w:r>
      <w:proofErr w:type="gramEnd"/>
      <w:r w:rsidRPr="00F778C2">
        <w:rPr>
          <w:rFonts w:ascii="Arial" w:hAnsi="Arial" w:cs="Arial"/>
          <w:b/>
          <w:sz w:val="19"/>
          <w:szCs w:val="19"/>
        </w:rPr>
        <w:t>……………………….</w:t>
      </w:r>
      <w:r w:rsidRPr="00F778C2">
        <w:rPr>
          <w:rFonts w:ascii="Arial" w:hAnsi="Arial" w:cs="Arial"/>
          <w:b/>
          <w:sz w:val="19"/>
          <w:szCs w:val="19"/>
        </w:rPr>
        <w:tab/>
      </w:r>
    </w:p>
    <w:p w14:paraId="72E56E32"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F60761" w:rsidRPr="00F778C2">
        <w:rPr>
          <w:rFonts w:ascii="Arial" w:hAnsi="Arial" w:cs="Arial"/>
          <w:b/>
          <w:sz w:val="19"/>
          <w:szCs w:val="19"/>
        </w:rPr>
        <w:t>……………………….</w:t>
      </w:r>
    </w:p>
    <w:p w14:paraId="66C16A79" w14:textId="77777777"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14:paraId="251E9CF8" w14:textId="77777777"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14:paraId="227896FC" w14:textId="52865ED0"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9B0D32">
        <w:rPr>
          <w:rFonts w:ascii="Arial" w:eastAsia="Calibri" w:hAnsi="Arial" w:cs="Arial"/>
          <w:b/>
          <w:sz w:val="28"/>
          <w:szCs w:val="28"/>
          <w:lang w:eastAsia="en-US"/>
        </w:rPr>
        <w:t>Rekonstrukce výpravní budovy v </w:t>
      </w:r>
      <w:proofErr w:type="spellStart"/>
      <w:r w:rsidR="009B0D32">
        <w:rPr>
          <w:rFonts w:ascii="Arial" w:eastAsia="Calibri" w:hAnsi="Arial" w:cs="Arial"/>
          <w:b/>
          <w:sz w:val="28"/>
          <w:szCs w:val="28"/>
          <w:lang w:eastAsia="en-US"/>
        </w:rPr>
        <w:t>žst</w:t>
      </w:r>
      <w:proofErr w:type="spellEnd"/>
      <w:r w:rsidR="009B0D32">
        <w:rPr>
          <w:rFonts w:ascii="Arial" w:eastAsia="Calibri" w:hAnsi="Arial" w:cs="Arial"/>
          <w:b/>
          <w:sz w:val="28"/>
          <w:szCs w:val="28"/>
          <w:lang w:eastAsia="en-US"/>
        </w:rPr>
        <w:t>. Beroun</w:t>
      </w:r>
      <w:r w:rsidRPr="00BE67AF">
        <w:rPr>
          <w:rFonts w:ascii="Arial" w:eastAsia="Calibri" w:hAnsi="Arial" w:cs="Arial"/>
          <w:b/>
          <w:i/>
          <w:sz w:val="28"/>
          <w:szCs w:val="28"/>
          <w:lang w:eastAsia="en-US"/>
        </w:rPr>
        <w:t>“</w:t>
      </w:r>
    </w:p>
    <w:p w14:paraId="07450091" w14:textId="77777777" w:rsidR="002B7443" w:rsidRPr="00D45655" w:rsidRDefault="002B7443" w:rsidP="002B7443">
      <w:pPr>
        <w:pStyle w:val="Podnadpis"/>
        <w:spacing w:before="240" w:after="120"/>
      </w:pPr>
      <w:r w:rsidRPr="00D45655">
        <w:t>Čl.1 -  Smluvní strany</w:t>
      </w:r>
    </w:p>
    <w:p w14:paraId="7D3364EF" w14:textId="77777777"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37B40FBF" w14:textId="77777777"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14:paraId="11CCF405"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14:paraId="7EBA314A"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14:paraId="4801DD0B"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zapsaná v OR u Městského soudu v Praze, oddíl A, vložka 48384</w:t>
      </w:r>
      <w:r w:rsidRPr="00F0777A">
        <w:rPr>
          <w:rFonts w:ascii="Arial" w:hAnsi="Arial" w:cs="Arial"/>
          <w:bCs/>
          <w:sz w:val="19"/>
          <w:szCs w:val="19"/>
        </w:rPr>
        <w:tab/>
      </w:r>
    </w:p>
    <w:p w14:paraId="0A89BDE6" w14:textId="77777777" w:rsidR="006045A1" w:rsidRPr="00F0777A" w:rsidRDefault="006045A1" w:rsidP="006045A1">
      <w:pPr>
        <w:ind w:left="567"/>
        <w:rPr>
          <w:rFonts w:ascii="Arial" w:hAnsi="Arial" w:cs="Arial"/>
          <w:sz w:val="19"/>
          <w:szCs w:val="19"/>
        </w:rPr>
      </w:pPr>
    </w:p>
    <w:p w14:paraId="6146DE4B"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Petrem </w:t>
      </w:r>
      <w:proofErr w:type="spellStart"/>
      <w:r w:rsidRPr="00F0777A">
        <w:rPr>
          <w:rFonts w:ascii="Arial" w:hAnsi="Arial" w:cs="Arial"/>
          <w:b/>
          <w:bCs/>
          <w:sz w:val="19"/>
          <w:szCs w:val="19"/>
        </w:rPr>
        <w:t>Hofhanzlem</w:t>
      </w:r>
      <w:proofErr w:type="spellEnd"/>
      <w:r w:rsidRPr="00F0777A">
        <w:rPr>
          <w:rFonts w:ascii="Arial" w:hAnsi="Arial" w:cs="Arial"/>
          <w:sz w:val="19"/>
          <w:szCs w:val="19"/>
        </w:rPr>
        <w:t xml:space="preserve">, ředitelem Stavební správy západ                                                       </w:t>
      </w:r>
    </w:p>
    <w:p w14:paraId="76CAD6DC" w14:textId="77777777"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14:paraId="5EA19A2D" w14:textId="77777777"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14:paraId="78A48BAF" w14:textId="77777777"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14:paraId="5B8FA285" w14:textId="77777777"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proofErr w:type="gramStart"/>
        <w:r w:rsidRPr="00F0777A">
          <w:rPr>
            <w:rStyle w:val="Hypertextovodkaz"/>
            <w:rFonts w:ascii="Arial" w:hAnsi="Arial" w:cs="Arial"/>
            <w:sz w:val="19"/>
            <w:szCs w:val="19"/>
          </w:rPr>
          <w:t>…..</w:t>
        </w:r>
        <w:r>
          <w:rPr>
            <w:rStyle w:val="Hypertextovodkaz"/>
            <w:rFonts w:ascii="Arial" w:hAnsi="Arial" w:cs="Arial"/>
            <w:sz w:val="19"/>
            <w:szCs w:val="19"/>
          </w:rPr>
          <w:t>@spravazeleznic</w:t>
        </w:r>
        <w:proofErr w:type="gramEnd"/>
        <w:r w:rsidRPr="00F0777A">
          <w:rPr>
            <w:rStyle w:val="Hypertextovodkaz"/>
            <w:rFonts w:ascii="Arial" w:hAnsi="Arial" w:cs="Arial"/>
            <w:sz w:val="19"/>
            <w:szCs w:val="19"/>
          </w:rPr>
          <w:t>.cz</w:t>
        </w:r>
      </w:hyperlink>
    </w:p>
    <w:p w14:paraId="305AC287" w14:textId="77777777"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 a faktur:</w:t>
      </w:r>
    </w:p>
    <w:p w14:paraId="24E57256" w14:textId="77777777" w:rsidR="006045A1" w:rsidRPr="00F0777A" w:rsidRDefault="006045A1" w:rsidP="006045A1">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14:paraId="1160170D"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Stavební správa západ, Sokolovská 1955/278, Praha 9, PSČ 190 00</w:t>
      </w:r>
    </w:p>
    <w:p w14:paraId="2E60FDFA" w14:textId="77777777" w:rsidR="006045A1" w:rsidRPr="00F0777A" w:rsidRDefault="006045A1" w:rsidP="006045A1">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14:paraId="59FC38C2" w14:textId="77777777"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14:paraId="3C1A5B9E"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14:paraId="5A39A0E0"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14:paraId="6FDDA177" w14:textId="77777777"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proofErr w:type="gramStart"/>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w:t>
      </w:r>
      <w:proofErr w:type="gramEnd"/>
      <w:r w:rsidRPr="00F778C2">
        <w:rPr>
          <w:rFonts w:ascii="Arial" w:hAnsi="Arial" w:cs="Arial"/>
          <w:smallCaps/>
          <w:sz w:val="19"/>
          <w:szCs w:val="19"/>
        </w:rPr>
        <w:t>: CZ</w:t>
      </w:r>
      <w:r w:rsidRPr="00F778C2">
        <w:rPr>
          <w:rStyle w:val="platne1"/>
          <w:rFonts w:ascii="Arial" w:hAnsi="Arial" w:cs="Arial"/>
          <w:sz w:val="19"/>
          <w:szCs w:val="19"/>
        </w:rPr>
        <w:t>……………</w:t>
      </w:r>
      <w:proofErr w:type="gramStart"/>
      <w:r w:rsidRPr="00F778C2">
        <w:rPr>
          <w:rStyle w:val="platne1"/>
          <w:rFonts w:ascii="Arial" w:hAnsi="Arial" w:cs="Arial"/>
          <w:sz w:val="19"/>
          <w:szCs w:val="19"/>
        </w:rPr>
        <w:t>…..</w:t>
      </w:r>
      <w:proofErr w:type="gramEnd"/>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14:paraId="2488483F"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14:paraId="1B484FA9"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14:paraId="4024D7C4" w14:textId="77777777" w:rsidR="002B7443" w:rsidRPr="00F778C2" w:rsidRDefault="002B7443" w:rsidP="002B7443">
      <w:pPr>
        <w:ind w:left="567"/>
        <w:rPr>
          <w:rFonts w:ascii="Arial" w:hAnsi="Arial" w:cs="Arial"/>
          <w:sz w:val="19"/>
          <w:szCs w:val="19"/>
        </w:rPr>
      </w:pPr>
    </w:p>
    <w:p w14:paraId="60765E15"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14:paraId="38042A57"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14:paraId="12D915DD"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14:paraId="2D2872FD"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14:paraId="03D01421" w14:textId="77777777"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14:paraId="60A0DCA6" w14:textId="77777777"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14:paraId="163DC205"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14:paraId="5A48FB01" w14:textId="77777777"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3CD23040" w14:textId="77777777" w:rsidR="00935AC5" w:rsidRDefault="00935AC5" w:rsidP="00935AC5"/>
    <w:p w14:paraId="6691EDC0" w14:textId="77777777" w:rsidR="00F778C2" w:rsidRDefault="00F778C2" w:rsidP="00935AC5"/>
    <w:p w14:paraId="41312A74" w14:textId="1A71664F" w:rsidR="00F60761" w:rsidRDefault="00F60761" w:rsidP="00F85CFC">
      <w:pPr>
        <w:tabs>
          <w:tab w:val="left" w:pos="5130"/>
        </w:tabs>
        <w:rPr>
          <w:rFonts w:ascii="Arial" w:hAnsi="Arial" w:cs="Arial"/>
          <w:b/>
          <w:u w:val="single"/>
        </w:rPr>
      </w:pPr>
    </w:p>
    <w:p w14:paraId="16368B52" w14:textId="2A4161B0"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lastRenderedPageBreak/>
        <w:t>Č</w:t>
      </w:r>
      <w:r w:rsidR="002B7443" w:rsidRPr="00647A7E">
        <w:rPr>
          <w:rFonts w:ascii="Arial" w:hAnsi="Arial" w:cs="Arial"/>
          <w:b/>
          <w:u w:val="single"/>
        </w:rPr>
        <w:t>l.</w:t>
      </w:r>
      <w:r w:rsidR="00F85CFC">
        <w:rPr>
          <w:rFonts w:ascii="Arial" w:hAnsi="Arial" w:cs="Arial"/>
          <w:b/>
          <w:u w:val="single"/>
        </w:rPr>
        <w:t xml:space="preserve"> 2 - </w:t>
      </w:r>
      <w:r w:rsidR="002B7443" w:rsidRPr="00647A7E">
        <w:rPr>
          <w:rFonts w:ascii="Arial" w:hAnsi="Arial" w:cs="Arial"/>
          <w:b/>
          <w:u w:val="single"/>
        </w:rPr>
        <w:t>Výchozí podklady a údaje</w:t>
      </w:r>
    </w:p>
    <w:p w14:paraId="458B80D6" w14:textId="77777777"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14:paraId="13DA667D" w14:textId="74E89A25"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9B0D32">
        <w:rPr>
          <w:rFonts w:ascii="Arial" w:hAnsi="Arial" w:cs="Arial"/>
          <w:b/>
          <w:sz w:val="19"/>
          <w:szCs w:val="19"/>
        </w:rPr>
        <w:t>Rekonstrukce výpravní budovy v </w:t>
      </w:r>
      <w:proofErr w:type="spellStart"/>
      <w:r w:rsidR="009B0D32">
        <w:rPr>
          <w:rFonts w:ascii="Arial" w:hAnsi="Arial" w:cs="Arial"/>
          <w:b/>
          <w:sz w:val="19"/>
          <w:szCs w:val="19"/>
        </w:rPr>
        <w:t>žst</w:t>
      </w:r>
      <w:proofErr w:type="spellEnd"/>
      <w:r w:rsidR="009B0D32">
        <w:rPr>
          <w:rFonts w:ascii="Arial" w:hAnsi="Arial" w:cs="Arial"/>
          <w:b/>
          <w:sz w:val="19"/>
          <w:szCs w:val="19"/>
        </w:rPr>
        <w:t>. Beroun</w:t>
      </w:r>
      <w:r w:rsidR="004F7FE3" w:rsidRPr="00F778C2">
        <w:rPr>
          <w:rFonts w:ascii="Arial" w:hAnsi="Arial" w:cs="Arial"/>
          <w:b/>
          <w:sz w:val="19"/>
          <w:szCs w:val="19"/>
        </w:rPr>
        <w:t>“</w:t>
      </w:r>
      <w:r w:rsidR="00B0516B" w:rsidRPr="00F778C2">
        <w:rPr>
          <w:rFonts w:ascii="Arial" w:hAnsi="Arial" w:cs="Arial"/>
          <w:b/>
          <w:sz w:val="19"/>
          <w:szCs w:val="19"/>
        </w:rPr>
        <w:t xml:space="preserve"> </w:t>
      </w:r>
      <w:proofErr w:type="gramStart"/>
      <w:r w:rsidRPr="00F778C2">
        <w:rPr>
          <w:rFonts w:ascii="Arial" w:hAnsi="Arial" w:cs="Arial"/>
          <w:sz w:val="19"/>
          <w:szCs w:val="19"/>
        </w:rPr>
        <w:t>č.j.</w:t>
      </w:r>
      <w:proofErr w:type="gramEnd"/>
      <w:r w:rsidRPr="00F778C2">
        <w:rPr>
          <w:rFonts w:ascii="Arial" w:hAnsi="Arial" w:cs="Arial"/>
          <w:sz w:val="19"/>
          <w:szCs w:val="19"/>
        </w:rPr>
        <w:t>:</w:t>
      </w:r>
      <w:r w:rsidR="009B0D32">
        <w:rPr>
          <w:rFonts w:ascii="Arial" w:hAnsi="Arial" w:cs="Arial"/>
          <w:sz w:val="19"/>
          <w:szCs w:val="19"/>
        </w:rPr>
        <w:t xml:space="preserve"> 18582</w:t>
      </w:r>
      <w:r w:rsidR="00BE67AF" w:rsidRPr="00F778C2">
        <w:rPr>
          <w:rFonts w:ascii="Arial" w:hAnsi="Arial" w:cs="Arial"/>
          <w:sz w:val="19"/>
          <w:szCs w:val="19"/>
        </w:rPr>
        <w:t>/20</w:t>
      </w:r>
      <w:r w:rsidR="00397C84" w:rsidRPr="00F778C2">
        <w:rPr>
          <w:rFonts w:ascii="Arial" w:hAnsi="Arial" w:cs="Arial"/>
          <w:sz w:val="19"/>
          <w:szCs w:val="19"/>
        </w:rPr>
        <w:t>2</w:t>
      </w:r>
      <w:r w:rsidR="009B0D32">
        <w:rPr>
          <w:rFonts w:ascii="Arial" w:hAnsi="Arial" w:cs="Arial"/>
          <w:sz w:val="19"/>
          <w:szCs w:val="19"/>
        </w:rPr>
        <w:t>0</w:t>
      </w:r>
      <w:r w:rsidR="006045A1">
        <w:rPr>
          <w:rFonts w:ascii="Arial" w:hAnsi="Arial" w:cs="Arial"/>
          <w:sz w:val="19"/>
          <w:szCs w:val="19"/>
        </w:rPr>
        <w:t>-SŽ</w:t>
      </w:r>
      <w:r w:rsidR="00BE67AF" w:rsidRPr="00F778C2">
        <w:rPr>
          <w:rFonts w:ascii="Arial" w:hAnsi="Arial" w:cs="Arial"/>
          <w:sz w:val="19"/>
          <w:szCs w:val="19"/>
        </w:rPr>
        <w:t xml:space="preserve">-SSZ-OVZ </w:t>
      </w:r>
      <w:r w:rsidR="007B70A5">
        <w:rPr>
          <w:rFonts w:ascii="Arial" w:hAnsi="Arial" w:cs="Arial"/>
          <w:sz w:val="19"/>
          <w:szCs w:val="19"/>
        </w:rPr>
        <w:t xml:space="preserve">ze </w:t>
      </w:r>
      <w:r w:rsidR="007B70A5" w:rsidRPr="006E6E43">
        <w:rPr>
          <w:rFonts w:ascii="Arial" w:hAnsi="Arial" w:cs="Arial"/>
          <w:sz w:val="19"/>
          <w:szCs w:val="19"/>
        </w:rPr>
        <w:t>dne 07. 09. 2020</w:t>
      </w:r>
      <w:r w:rsidR="00EF0B87" w:rsidRPr="006E6E43">
        <w:rPr>
          <w:rFonts w:ascii="Arial" w:hAnsi="Arial" w:cs="Arial"/>
          <w:sz w:val="19"/>
          <w:szCs w:val="19"/>
        </w:rPr>
        <w:t>,</w:t>
      </w:r>
      <w:r w:rsidRPr="006E6E43">
        <w:rPr>
          <w:rFonts w:ascii="Arial" w:hAnsi="Arial" w:cs="Arial"/>
          <w:sz w:val="19"/>
          <w:szCs w:val="19"/>
        </w:rPr>
        <w:t xml:space="preserve"> která</w:t>
      </w:r>
      <w:r w:rsidRPr="00F778C2">
        <w:rPr>
          <w:rFonts w:ascii="Arial" w:hAnsi="Arial" w:cs="Arial"/>
          <w:sz w:val="19"/>
          <w:szCs w:val="19"/>
        </w:rPr>
        <w:t xml:space="preserve"> byla zaslána Stavební správou západ.</w:t>
      </w:r>
    </w:p>
    <w:p w14:paraId="3C9A8D98"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14:paraId="1036E54D" w14:textId="77777777"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14:paraId="25076FB9" w14:textId="23CE67CF"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006E6E43">
        <w:rPr>
          <w:rFonts w:ascii="Arial" w:hAnsi="Arial" w:cs="Arial"/>
          <w:sz w:val="19"/>
          <w:szCs w:val="19"/>
        </w:rPr>
        <w:t>1 – 5</w:t>
      </w:r>
      <w:bookmarkStart w:id="0" w:name="_GoBack"/>
      <w:bookmarkEnd w:id="0"/>
      <w:r w:rsidRPr="00F778C2">
        <w:rPr>
          <w:rFonts w:ascii="Arial" w:hAnsi="Arial" w:cs="Arial"/>
          <w:sz w:val="19"/>
          <w:szCs w:val="19"/>
        </w:rPr>
        <w:t xml:space="preserve"> Výzvy</w:t>
      </w:r>
    </w:p>
    <w:p w14:paraId="2955E141" w14:textId="77777777"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14:paraId="5EAF344E" w14:textId="77777777"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14:paraId="02768F4C" w14:textId="77777777"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14:paraId="19640CDC"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14:paraId="2E4E1AE2"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14:paraId="056A1B1C"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14:paraId="529EADD4" w14:textId="77777777"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14:paraId="2C7F81BF" w14:textId="77777777"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14:paraId="32A14D29" w14:textId="426E195B"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9B0D32">
        <w:rPr>
          <w:rFonts w:ascii="Arial" w:hAnsi="Arial" w:cs="Arial"/>
          <w:b/>
          <w:sz w:val="19"/>
          <w:szCs w:val="19"/>
        </w:rPr>
        <w:t>Rekonstrukce výpravní budovy v </w:t>
      </w:r>
      <w:proofErr w:type="spellStart"/>
      <w:r w:rsidR="009B0D32">
        <w:rPr>
          <w:rFonts w:ascii="Arial" w:hAnsi="Arial" w:cs="Arial"/>
          <w:b/>
          <w:sz w:val="19"/>
          <w:szCs w:val="19"/>
        </w:rPr>
        <w:t>žst</w:t>
      </w:r>
      <w:proofErr w:type="spellEnd"/>
      <w:r w:rsidR="009B0D32">
        <w:rPr>
          <w:rFonts w:ascii="Arial" w:hAnsi="Arial" w:cs="Arial"/>
          <w:b/>
          <w:sz w:val="19"/>
          <w:szCs w:val="19"/>
        </w:rPr>
        <w:t>. Beroun</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71464C" w:rsidRPr="0071464C">
        <w:rPr>
          <w:rFonts w:ascii="Arial" w:hAnsi="Arial" w:cs="Arial"/>
          <w:sz w:val="19"/>
          <w:szCs w:val="19"/>
        </w:rPr>
        <w:t>.</w:t>
      </w:r>
    </w:p>
    <w:p w14:paraId="7119F063" w14:textId="77777777"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14:paraId="0B2805A5" w14:textId="77777777"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14:paraId="196D5233" w14:textId="3082A7CE"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 xml:space="preserve">spolupráce s oddělením externího financování GŘ </w:t>
      </w:r>
      <w:r w:rsidR="006045A1" w:rsidRPr="00805C88">
        <w:rPr>
          <w:rFonts w:ascii="Arial" w:eastAsia="Calibri" w:hAnsi="Arial" w:cs="Arial"/>
          <w:sz w:val="19"/>
          <w:szCs w:val="19"/>
          <w:lang w:eastAsia="en-US"/>
        </w:rPr>
        <w:t xml:space="preserve">SŽ, resp. </w:t>
      </w:r>
      <w:r w:rsidR="00805C88" w:rsidRPr="00805C88">
        <w:rPr>
          <w:rFonts w:ascii="Arial" w:eastAsia="Calibri" w:hAnsi="Arial" w:cs="Arial"/>
          <w:sz w:val="19"/>
          <w:szCs w:val="19"/>
          <w:lang w:eastAsia="en-US"/>
        </w:rPr>
        <w:t xml:space="preserve"> MŽP/ SFŽP</w:t>
      </w:r>
    </w:p>
    <w:p w14:paraId="11F73E67" w14:textId="5AFA8D40"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xml:space="preserve"> projektové žádosti </w:t>
      </w:r>
      <w:r w:rsidR="00805C88" w:rsidRPr="00F778C2">
        <w:rPr>
          <w:rFonts w:ascii="Arial" w:eastAsia="Calibri" w:hAnsi="Arial" w:cs="Arial"/>
          <w:b/>
          <w:sz w:val="19"/>
          <w:szCs w:val="19"/>
          <w:lang w:eastAsia="en-US"/>
        </w:rPr>
        <w:t>OP</w:t>
      </w:r>
      <w:r w:rsidR="00805C88">
        <w:rPr>
          <w:rFonts w:ascii="Arial" w:eastAsia="Calibri" w:hAnsi="Arial" w:cs="Arial"/>
          <w:b/>
          <w:sz w:val="19"/>
          <w:szCs w:val="19"/>
          <w:lang w:eastAsia="en-US"/>
        </w:rPr>
        <w:t>ŽP</w:t>
      </w:r>
    </w:p>
    <w:p w14:paraId="5521C105" w14:textId="6E97299B"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w:t>
      </w:r>
      <w:r w:rsidR="0055405E">
        <w:rPr>
          <w:rFonts w:ascii="Arial" w:eastAsia="Calibri" w:hAnsi="Arial" w:cs="Arial"/>
          <w:sz w:val="19"/>
          <w:szCs w:val="19"/>
          <w:lang w:eastAsia="en-US"/>
        </w:rPr>
        <w:t>, které byly použit</w:t>
      </w:r>
      <w:r w:rsidR="00FA7FFD">
        <w:rPr>
          <w:rFonts w:ascii="Arial" w:eastAsia="Calibri" w:hAnsi="Arial" w:cs="Arial"/>
          <w:sz w:val="19"/>
          <w:szCs w:val="19"/>
          <w:lang w:eastAsia="en-US"/>
        </w:rPr>
        <w:t>y</w:t>
      </w:r>
      <w:r w:rsidR="00737252" w:rsidRPr="00F778C2">
        <w:rPr>
          <w:rFonts w:ascii="Arial" w:eastAsia="Calibri" w:hAnsi="Arial" w:cs="Arial"/>
          <w:sz w:val="19"/>
          <w:szCs w:val="19"/>
          <w:lang w:eastAsia="en-US"/>
        </w:rPr>
        <w:t xml:space="preserve"> pro žádost OP</w:t>
      </w:r>
      <w:r w:rsidR="00805C88">
        <w:rPr>
          <w:rFonts w:ascii="Arial" w:eastAsia="Calibri" w:hAnsi="Arial" w:cs="Arial"/>
          <w:sz w:val="19"/>
          <w:szCs w:val="19"/>
          <w:lang w:eastAsia="en-US"/>
        </w:rPr>
        <w:t>ŽP,</w:t>
      </w:r>
      <w:r w:rsidR="00737252" w:rsidRPr="00F778C2">
        <w:rPr>
          <w:rFonts w:ascii="Arial" w:eastAsia="Calibri" w:hAnsi="Arial" w:cs="Arial"/>
          <w:sz w:val="19"/>
          <w:szCs w:val="19"/>
          <w:lang w:eastAsia="en-US"/>
        </w:rPr>
        <w:t xml:space="preserve">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14:paraId="0AF6C139" w14:textId="7F6C43DB"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653B2D" w:rsidRPr="00F778C2">
        <w:rPr>
          <w:rFonts w:ascii="Arial" w:eastAsia="Calibri" w:hAnsi="Arial" w:cs="Arial"/>
          <w:sz w:val="19"/>
          <w:szCs w:val="19"/>
          <w:lang w:eastAsia="en-US"/>
        </w:rPr>
        <w:t>)</w:t>
      </w:r>
    </w:p>
    <w:p w14:paraId="375F6A78" w14:textId="77777777"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14:paraId="6284515D"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14:paraId="0932397A" w14:textId="77777777"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14:paraId="4209346E"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14:paraId="762D3F57" w14:textId="77777777"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14:paraId="40E3F593"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lastRenderedPageBreak/>
        <w:t>kontrola souladu mezi plánem fakturace a skutečnou fakturaci včetně návrhu potřebných opatření při vzniku výraznějších odchylek,</w:t>
      </w:r>
    </w:p>
    <w:p w14:paraId="0450E3BE"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14:paraId="2E3DB39C"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14:paraId="10203B5F" w14:textId="2A0C1CAA"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r w:rsidR="00D03CA2">
        <w:rPr>
          <w:rFonts w:ascii="Arial" w:eastAsia="Calibri" w:hAnsi="Arial" w:cs="Arial"/>
          <w:sz w:val="19"/>
          <w:szCs w:val="19"/>
          <w:lang w:eastAsia="en-US"/>
        </w:rPr>
        <w:t xml:space="preserve">. </w:t>
      </w:r>
      <w:r w:rsidR="00D03CA2" w:rsidRPr="00D03CA2">
        <w:rPr>
          <w:rFonts w:ascii="Arial" w:eastAsia="Calibri" w:hAnsi="Arial" w:cs="Arial"/>
          <w:sz w:val="19"/>
          <w:szCs w:val="19"/>
          <w:lang w:eastAsia="en-US"/>
        </w:rPr>
        <w:t>Faktury, které budou předkládány na SFŽP</w:t>
      </w:r>
      <w:r w:rsidR="0071464C">
        <w:rPr>
          <w:rFonts w:ascii="Arial" w:eastAsia="Calibri" w:hAnsi="Arial" w:cs="Arial"/>
          <w:sz w:val="19"/>
          <w:szCs w:val="19"/>
          <w:lang w:eastAsia="en-US"/>
        </w:rPr>
        <w:t xml:space="preserve"> (s uznatelnými náklady)</w:t>
      </w:r>
      <w:r w:rsidR="00D03CA2" w:rsidRPr="00D03CA2">
        <w:rPr>
          <w:rFonts w:ascii="Arial" w:eastAsia="Calibri" w:hAnsi="Arial" w:cs="Arial"/>
          <w:sz w:val="19"/>
          <w:szCs w:val="19"/>
          <w:lang w:eastAsia="en-US"/>
        </w:rPr>
        <w:t>, musí být opatřeny originálním podpisem a razítkem</w:t>
      </w:r>
      <w:r w:rsidR="0071464C">
        <w:rPr>
          <w:rFonts w:ascii="Arial" w:eastAsia="Calibri" w:hAnsi="Arial" w:cs="Arial"/>
          <w:sz w:val="19"/>
          <w:szCs w:val="19"/>
          <w:lang w:eastAsia="en-US"/>
        </w:rPr>
        <w:t xml:space="preserve"> TDS</w:t>
      </w:r>
      <w:r w:rsidR="00D03CA2">
        <w:rPr>
          <w:rFonts w:ascii="Arial" w:eastAsia="Calibri" w:hAnsi="Arial" w:cs="Arial"/>
          <w:sz w:val="19"/>
          <w:szCs w:val="19"/>
          <w:lang w:eastAsia="en-US"/>
        </w:rPr>
        <w:t>,</w:t>
      </w:r>
    </w:p>
    <w:p w14:paraId="3F925ADE" w14:textId="37522AF0" w:rsidR="00CE538F" w:rsidRPr="00EA4309"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EA4309">
        <w:rPr>
          <w:rFonts w:ascii="Arial" w:eastAsia="Calibri" w:hAnsi="Arial" w:cs="Arial"/>
          <w:sz w:val="19"/>
          <w:szCs w:val="19"/>
          <w:lang w:eastAsia="en-US"/>
        </w:rPr>
        <w:t xml:space="preserve">pravidelný </w:t>
      </w:r>
      <w:r w:rsidR="006F5B3A" w:rsidRPr="00EA4309">
        <w:rPr>
          <w:rFonts w:ascii="Arial" w:eastAsia="Calibri" w:hAnsi="Arial" w:cs="Arial"/>
          <w:sz w:val="19"/>
          <w:szCs w:val="19"/>
          <w:lang w:eastAsia="en-US"/>
        </w:rPr>
        <w:t xml:space="preserve">měsíční </w:t>
      </w:r>
      <w:r w:rsidRPr="00EA4309">
        <w:rPr>
          <w:rFonts w:ascii="Arial" w:eastAsia="Calibri" w:hAnsi="Arial" w:cs="Arial"/>
          <w:sz w:val="19"/>
          <w:szCs w:val="19"/>
          <w:lang w:eastAsia="en-US"/>
        </w:rPr>
        <w:t>reporting o proběhlé fakturaci, včetně doložení výsledků z monitorovacího systému ve formě tabulky po jednotlivých PS a SO</w:t>
      </w:r>
      <w:r w:rsidR="005A1C5D" w:rsidRPr="00EA4309">
        <w:rPr>
          <w:rFonts w:ascii="Arial" w:eastAsia="Calibri" w:hAnsi="Arial" w:cs="Arial"/>
          <w:sz w:val="19"/>
          <w:szCs w:val="19"/>
          <w:lang w:eastAsia="en-US"/>
        </w:rPr>
        <w:t xml:space="preserve">, respektive </w:t>
      </w:r>
      <w:r w:rsidR="00EA4309" w:rsidRPr="00EA4309">
        <w:rPr>
          <w:rFonts w:ascii="Arial" w:eastAsia="Calibri" w:hAnsi="Arial" w:cs="Arial"/>
          <w:sz w:val="19"/>
          <w:szCs w:val="19"/>
          <w:lang w:eastAsia="en-US"/>
        </w:rPr>
        <w:t xml:space="preserve">rozdělení čerpání </w:t>
      </w:r>
      <w:r w:rsidR="005A1C5D" w:rsidRPr="00EA4309">
        <w:rPr>
          <w:rFonts w:ascii="Arial" w:eastAsia="Calibri" w:hAnsi="Arial" w:cs="Arial"/>
          <w:sz w:val="19"/>
          <w:szCs w:val="19"/>
          <w:lang w:eastAsia="en-US"/>
        </w:rPr>
        <w:t>polož</w:t>
      </w:r>
      <w:r w:rsidR="00EA4309" w:rsidRPr="00EA4309">
        <w:rPr>
          <w:rFonts w:ascii="Arial" w:eastAsia="Calibri" w:hAnsi="Arial" w:cs="Arial"/>
          <w:sz w:val="19"/>
          <w:szCs w:val="19"/>
          <w:lang w:eastAsia="en-US"/>
        </w:rPr>
        <w:t>ek</w:t>
      </w:r>
      <w:r w:rsidR="005A1C5D" w:rsidRPr="00EA4309">
        <w:rPr>
          <w:rFonts w:ascii="Arial" w:eastAsia="Calibri" w:hAnsi="Arial" w:cs="Arial"/>
          <w:sz w:val="19"/>
          <w:szCs w:val="19"/>
          <w:lang w:eastAsia="en-US"/>
        </w:rPr>
        <w:t xml:space="preserve"> dle způsobilosti tak, jak bylo použito v žádosti o dotaci</w:t>
      </w:r>
      <w:r w:rsidRPr="00EA4309">
        <w:rPr>
          <w:rFonts w:ascii="Arial" w:eastAsia="Calibri" w:hAnsi="Arial" w:cs="Arial"/>
          <w:sz w:val="19"/>
          <w:szCs w:val="19"/>
          <w:lang w:eastAsia="en-US"/>
        </w:rPr>
        <w:t xml:space="preserve"> ve formě Velkého položkového rozpočtu</w:t>
      </w:r>
      <w:r w:rsidR="00EA4309" w:rsidRPr="00EA4309">
        <w:rPr>
          <w:rFonts w:ascii="Arial" w:eastAsia="Calibri" w:hAnsi="Arial" w:cs="Arial"/>
          <w:sz w:val="19"/>
          <w:szCs w:val="19"/>
          <w:lang w:eastAsia="en-US"/>
        </w:rPr>
        <w:t>.</w:t>
      </w:r>
    </w:p>
    <w:p w14:paraId="6CB4C8B1"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14:paraId="6E842A88"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14:paraId="5F60838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14:paraId="14A320C6" w14:textId="77777777"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14:paraId="512D0506"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14:paraId="4726A0C1"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14:paraId="2FF1E355"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DAAF7D6" w14:textId="77777777"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w:t>
      </w:r>
      <w:proofErr w:type="spellStart"/>
      <w:r w:rsidRPr="00F778C2">
        <w:rPr>
          <w:rFonts w:ascii="Arial" w:eastAsia="Calibri" w:hAnsi="Arial" w:cs="Arial"/>
          <w:sz w:val="19"/>
          <w:szCs w:val="19"/>
          <w:lang w:eastAsia="en-US"/>
        </w:rPr>
        <w:t>SoD</w:t>
      </w:r>
      <w:proofErr w:type="spellEnd"/>
      <w:r w:rsidRPr="00F778C2">
        <w:rPr>
          <w:rFonts w:ascii="Arial" w:eastAsia="Calibri" w:hAnsi="Arial" w:cs="Arial"/>
          <w:sz w:val="19"/>
          <w:szCs w:val="19"/>
          <w:lang w:eastAsia="en-US"/>
        </w:rPr>
        <w:t>), dokládající úpravu smluvní situace, bude-li taková činnost objednatelem po zhotoviteli vyžadována</w:t>
      </w:r>
      <w:r w:rsidR="0077342D" w:rsidRPr="00F778C2">
        <w:rPr>
          <w:rFonts w:ascii="Arial" w:eastAsia="Calibri" w:hAnsi="Arial" w:cs="Arial"/>
          <w:sz w:val="19"/>
          <w:szCs w:val="19"/>
          <w:lang w:eastAsia="en-US"/>
        </w:rPr>
        <w:t>,</w:t>
      </w:r>
    </w:p>
    <w:p w14:paraId="52F2C347"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14:paraId="463A626B" w14:textId="77777777"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14:paraId="48DE84B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14:paraId="1B96B5F4" w14:textId="77777777"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14:paraId="7FCF1812"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14:paraId="46DB60DA"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14:paraId="691F5DD7"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14:paraId="735FE85B"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14:paraId="4161D070" w14:textId="7031F22B"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vypracování finálních podkladů pro monitoring o vývoji uznatelných a neuznatelných nákladů</w:t>
      </w:r>
      <w:r w:rsidRPr="0071464C">
        <w:rPr>
          <w:rFonts w:ascii="Arial" w:eastAsia="Calibri" w:hAnsi="Arial"/>
          <w:sz w:val="19"/>
          <w:szCs w:val="19"/>
          <w:lang w:eastAsia="en-US"/>
        </w:rPr>
        <w:t>,</w:t>
      </w:r>
      <w:r w:rsidRPr="00F778C2">
        <w:rPr>
          <w:rFonts w:ascii="Arial" w:eastAsia="Calibri" w:hAnsi="Arial"/>
          <w:sz w:val="19"/>
          <w:szCs w:val="19"/>
          <w:lang w:eastAsia="en-US"/>
        </w:rPr>
        <w:t xml:space="preserve"> </w:t>
      </w:r>
      <w:r w:rsidRPr="00F778C2">
        <w:rPr>
          <w:rFonts w:ascii="Arial" w:eastAsia="Calibri" w:hAnsi="Arial" w:cs="Arial"/>
          <w:sz w:val="19"/>
          <w:szCs w:val="19"/>
          <w:lang w:eastAsia="en-US"/>
        </w:rPr>
        <w:t>výsledky zpracuje zhotovitel ve formě tabulky (v listinné a digitální podobě) jako informativní podklad pro objednatele.</w:t>
      </w:r>
    </w:p>
    <w:p w14:paraId="60862962"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14:paraId="15EE867F" w14:textId="77777777"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14:paraId="7AAA6D35" w14:textId="7F5B8010"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r w:rsidR="00EA4309">
        <w:rPr>
          <w:rFonts w:ascii="Arial" w:eastAsia="Calibri" w:hAnsi="Arial" w:cs="Arial"/>
          <w:sz w:val="19"/>
          <w:szCs w:val="19"/>
          <w:lang w:eastAsia="en-US"/>
        </w:rPr>
        <w:t>, rozdělených dle způsobilosti žádosti OPŽP</w:t>
      </w:r>
    </w:p>
    <w:p w14:paraId="772C777F"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14:paraId="7FF13D0B" w14:textId="77777777"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14:paraId="64BFBD37"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14:paraId="2ACAC850"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14:paraId="40737D07" w14:textId="020EA7DD"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62718A">
        <w:rPr>
          <w:rFonts w:ascii="Arial" w:eastAsia="Calibri" w:hAnsi="Arial" w:cs="Arial"/>
          <w:b/>
          <w:sz w:val="19"/>
          <w:szCs w:val="19"/>
          <w:lang w:eastAsia="en-US"/>
        </w:rPr>
        <w:t>SFŽP</w:t>
      </w:r>
      <w:r w:rsidR="00BF18DF" w:rsidRPr="00F778C2">
        <w:rPr>
          <w:rFonts w:ascii="Arial" w:eastAsia="Calibri" w:hAnsi="Arial" w:cs="Arial"/>
          <w:b/>
          <w:sz w:val="19"/>
          <w:szCs w:val="19"/>
          <w:lang w:eastAsia="en-US"/>
        </w:rPr>
        <w:t>)</w:t>
      </w:r>
    </w:p>
    <w:p w14:paraId="299058D3" w14:textId="77777777"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14:paraId="21AC63FB" w14:textId="77777777"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14:paraId="6D84590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14:paraId="0958D211" w14:textId="77777777"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14:paraId="2F7F8C5A" w14:textId="77777777"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14:paraId="4B3818AF" w14:textId="77777777"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14:paraId="4217D00F" w14:textId="77777777"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14:paraId="2695AB2A" w14:textId="77777777"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14:paraId="56D42A52"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14:paraId="2468713E" w14:textId="77777777"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14:paraId="55CD2F1D"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14:paraId="3B955256" w14:textId="77777777" w:rsid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14:paraId="6A848F2C" w14:textId="77777777" w:rsidR="00F83989" w:rsidRPr="00F778C2" w:rsidRDefault="00F83989"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Pr>
          <w:rFonts w:ascii="Arial" w:eastAsia="Calibri" w:hAnsi="Arial" w:cs="Arial"/>
          <w:sz w:val="19"/>
          <w:szCs w:val="19"/>
          <w:lang w:eastAsia="en-US"/>
        </w:rPr>
        <w:t>přehled konečných způsobilých nákladů v členění, jak jsou sledovány v rámci dotace OPŽP</w:t>
      </w:r>
    </w:p>
    <w:p w14:paraId="7A757455" w14:textId="77777777"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14:paraId="06FCC98F" w14:textId="77777777"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lastRenderedPageBreak/>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14:paraId="2ACD1CFC" w14:textId="77777777"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19DDC591" w14:textId="77777777"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14:paraId="6BF1133B" w14:textId="77777777" w:rsidR="00863597" w:rsidRPr="00D45655" w:rsidRDefault="00863597" w:rsidP="00104FD0">
      <w:pPr>
        <w:pStyle w:val="Nadpis1"/>
        <w:spacing w:before="360" w:after="120"/>
        <w:jc w:val="center"/>
        <w:rPr>
          <w:sz w:val="24"/>
          <w:u w:val="single"/>
        </w:rPr>
      </w:pPr>
      <w:r w:rsidRPr="00D45655">
        <w:rPr>
          <w:sz w:val="24"/>
          <w:u w:val="single"/>
        </w:rPr>
        <w:t>Čl. 4 -  Termín plnění</w:t>
      </w:r>
    </w:p>
    <w:p w14:paraId="1A7BAA2F" w14:textId="77777777"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14:paraId="153C8858" w14:textId="77777777"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14:paraId="4E476572" w14:textId="43E8208A"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9B0D32">
        <w:rPr>
          <w:rFonts w:ascii="Arial" w:hAnsi="Arial"/>
          <w:b/>
          <w:sz w:val="19"/>
          <w:szCs w:val="19"/>
        </w:rPr>
        <w:t>11</w:t>
      </w:r>
      <w:r w:rsidRPr="00F778C2">
        <w:rPr>
          <w:rFonts w:ascii="Arial" w:hAnsi="Arial"/>
          <w:b/>
          <w:sz w:val="19"/>
          <w:szCs w:val="19"/>
        </w:rPr>
        <w:t>/20</w:t>
      </w:r>
      <w:r w:rsidR="00397C84" w:rsidRPr="00F778C2">
        <w:rPr>
          <w:rFonts w:ascii="Arial" w:hAnsi="Arial"/>
          <w:b/>
          <w:sz w:val="19"/>
          <w:szCs w:val="19"/>
        </w:rPr>
        <w:t>2</w:t>
      </w:r>
      <w:r w:rsidR="009B0D32">
        <w:rPr>
          <w:rFonts w:ascii="Arial" w:hAnsi="Arial"/>
          <w:b/>
          <w:sz w:val="19"/>
          <w:szCs w:val="19"/>
        </w:rPr>
        <w:t>2</w:t>
      </w:r>
      <w:r w:rsidRPr="00F778C2">
        <w:rPr>
          <w:rFonts w:ascii="Arial" w:hAnsi="Arial"/>
          <w:b/>
          <w:sz w:val="19"/>
          <w:szCs w:val="19"/>
        </w:rPr>
        <w:t>)</w:t>
      </w:r>
    </w:p>
    <w:p w14:paraId="240B9936" w14:textId="77777777"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14:paraId="6C017B70" w14:textId="77777777"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14:paraId="0FE97B31" w14:textId="77777777"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14:paraId="0B27B1E3" w14:textId="77777777"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14:paraId="0CE015F4" w14:textId="77777777"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14:paraId="0BB6E5DF" w14:textId="77777777"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14:paraId="029D4048" w14:textId="77777777"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14:paraId="65B7BA55" w14:textId="77777777"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14:paraId="54744737" w14:textId="77777777"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14:paraId="0BDCEEE3" w14:textId="77777777" w:rsidR="00863597" w:rsidRPr="00CF51FF" w:rsidRDefault="00585200" w:rsidP="00EE633B">
      <w:pPr>
        <w:pStyle w:val="Nadpis1"/>
        <w:keepNext w:val="0"/>
        <w:spacing w:before="360"/>
        <w:jc w:val="center"/>
        <w:rPr>
          <w:sz w:val="24"/>
          <w:u w:val="single"/>
        </w:rPr>
      </w:pPr>
      <w:r>
        <w:rPr>
          <w:sz w:val="24"/>
          <w:u w:val="single"/>
        </w:rPr>
        <w:t>Čl. 5 -  Cena</w:t>
      </w:r>
    </w:p>
    <w:p w14:paraId="35C52F24" w14:textId="77777777"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778C2">
        <w:rPr>
          <w:rFonts w:ascii="Arial" w:hAnsi="Arial" w:cs="Arial"/>
          <w:snapToGrid w:val="0"/>
          <w:sz w:val="19"/>
          <w:szCs w:val="19"/>
        </w:rPr>
        <w:t>ust</w:t>
      </w:r>
      <w:proofErr w:type="spellEnd"/>
      <w:r w:rsidRPr="00F778C2">
        <w:rPr>
          <w:rFonts w:ascii="Arial" w:hAnsi="Arial" w:cs="Arial"/>
          <w:snapToGrid w:val="0"/>
          <w:sz w:val="19"/>
          <w:szCs w:val="19"/>
        </w:rPr>
        <w:t xml:space="preserve">.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14:paraId="68AE4627" w14:textId="77777777"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proofErr w:type="gramStart"/>
      <w:r w:rsidR="0082620F" w:rsidRPr="00F778C2">
        <w:rPr>
          <w:rFonts w:ascii="Arial" w:hAnsi="Arial" w:cs="Arial"/>
          <w:sz w:val="19"/>
          <w:szCs w:val="19"/>
        </w:rPr>
        <w:t>…..</w:t>
      </w:r>
      <w:r w:rsidR="0082620F" w:rsidRPr="00F778C2">
        <w:rPr>
          <w:rFonts w:ascii="Arial" w:hAnsi="Arial" w:cs="Arial"/>
          <w:sz w:val="19"/>
          <w:szCs w:val="19"/>
        </w:rPr>
        <w:tab/>
      </w:r>
      <w:r w:rsidR="0082620F" w:rsidRPr="00F778C2">
        <w:rPr>
          <w:rFonts w:ascii="Arial" w:hAnsi="Arial" w:cs="Arial"/>
          <w:sz w:val="19"/>
          <w:szCs w:val="19"/>
        </w:rPr>
        <w:tab/>
        <w:t>…</w:t>
      </w:r>
      <w:proofErr w:type="gramEnd"/>
      <w:r w:rsidR="0082620F" w:rsidRPr="00F778C2">
        <w:rPr>
          <w:rFonts w:ascii="Arial" w:hAnsi="Arial" w:cs="Arial"/>
          <w:sz w:val="19"/>
          <w:szCs w:val="19"/>
        </w:rPr>
        <w:t>……….,- Kč</w:t>
      </w:r>
    </w:p>
    <w:p w14:paraId="00C62A5A"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w:t>
      </w:r>
      <w:proofErr w:type="gramStart"/>
      <w:r w:rsidRPr="00F778C2">
        <w:rPr>
          <w:rFonts w:ascii="Arial" w:hAnsi="Arial" w:cs="Arial"/>
          <w:sz w:val="19"/>
          <w:szCs w:val="19"/>
          <w:u w:val="single"/>
        </w:rPr>
        <w:t>…..,- Kč</w:t>
      </w:r>
      <w:proofErr w:type="gramEnd"/>
      <w:r w:rsidRPr="00F778C2">
        <w:rPr>
          <w:rFonts w:ascii="Arial" w:hAnsi="Arial" w:cs="Arial"/>
          <w:sz w:val="19"/>
          <w:szCs w:val="19"/>
          <w:u w:val="single"/>
        </w:rPr>
        <w:t xml:space="preserve"> </w:t>
      </w:r>
    </w:p>
    <w:p w14:paraId="4D536C8D"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w:t>
      </w:r>
      <w:proofErr w:type="gramStart"/>
      <w:r w:rsidRPr="00F778C2">
        <w:rPr>
          <w:rFonts w:ascii="Arial" w:hAnsi="Arial" w:cs="Arial"/>
          <w:sz w:val="19"/>
          <w:szCs w:val="19"/>
        </w:rPr>
        <w:t>…..,- Kč</w:t>
      </w:r>
      <w:proofErr w:type="gramEnd"/>
    </w:p>
    <w:p w14:paraId="14783D5C" w14:textId="77777777"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14:paraId="63D6B315" w14:textId="77777777"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14:paraId="3EA12377" w14:textId="77777777" w:rsidR="00FE1FF1" w:rsidRPr="00F778C2" w:rsidRDefault="00FE1FF1" w:rsidP="0082620F">
      <w:pPr>
        <w:tabs>
          <w:tab w:val="left" w:pos="567"/>
        </w:tabs>
        <w:spacing w:before="240"/>
        <w:ind w:left="567"/>
        <w:rPr>
          <w:rFonts w:ascii="Arial" w:hAnsi="Arial" w:cs="Arial"/>
          <w:vanish/>
          <w:sz w:val="19"/>
          <w:szCs w:val="19"/>
        </w:rPr>
      </w:pPr>
    </w:p>
    <w:p w14:paraId="46DA6937" w14:textId="77777777"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14:paraId="44034CC7" w14:textId="77777777"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14:paraId="4DA55A6A" w14:textId="77777777"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1"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14:paraId="5B8A7277" w14:textId="77777777" w:rsidR="00817616" w:rsidRPr="00CF51FF" w:rsidRDefault="00817616" w:rsidP="006148AA">
      <w:pPr>
        <w:pStyle w:val="Nadpis1"/>
        <w:spacing w:before="240"/>
        <w:jc w:val="center"/>
        <w:rPr>
          <w:sz w:val="24"/>
          <w:u w:val="single"/>
        </w:rPr>
      </w:pPr>
      <w:r w:rsidRPr="00CF51FF">
        <w:rPr>
          <w:sz w:val="24"/>
          <w:u w:val="single"/>
        </w:rPr>
        <w:t>Čl. 6 - Platební podmínky</w:t>
      </w:r>
    </w:p>
    <w:p w14:paraId="695636E4" w14:textId="77777777"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 xml:space="preserve">za který byly činnosti </w:t>
      </w:r>
      <w:r w:rsidRPr="00F778C2">
        <w:rPr>
          <w:rFonts w:ascii="Arial" w:eastAsia="Calibri" w:hAnsi="Arial"/>
          <w:sz w:val="19"/>
          <w:szCs w:val="19"/>
          <w:lang w:eastAsia="en-US"/>
        </w:rPr>
        <w:lastRenderedPageBreak/>
        <w:t>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14:paraId="2B84A5BE"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14:paraId="1AD7267E"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14:paraId="4AEC79A7"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14:paraId="6D03D940"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14:paraId="47B2676F"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2236D87B"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14:paraId="2D1BA147"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14:paraId="1806FC48"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14:paraId="5F0927AD" w14:textId="77777777"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14:paraId="7D4409A9"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14:paraId="3633953A"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14:paraId="73F09D38"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14:paraId="70CC74A9" w14:textId="77777777"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14:paraId="6EA47965" w14:textId="77777777"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36D1F73A"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30063653" w14:textId="77777777"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14:paraId="795EE837" w14:textId="77777777"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48FF6C8F" w14:textId="77777777"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 xml:space="preserve">Objednatel je povinen bezodkladně tak, aby nevzniklo nebezpečí z prodlení, činit vyjádření (rozhodnutí) ve věcech, o kterých jej zhotovitel bude informovat a bez jejichž rozhodnutí objednatelem </w:t>
      </w:r>
      <w:r w:rsidRPr="00F778C2">
        <w:rPr>
          <w:rFonts w:ascii="Arial" w:hAnsi="Arial"/>
          <w:sz w:val="19"/>
          <w:szCs w:val="19"/>
        </w:rPr>
        <w:lastRenderedPageBreak/>
        <w:t>nemůže zhotovitel pokračovat v plnění této smlouvy. Zhotovitel je naopak povinen předávat objednateli k rozhodnutí již vyhodnocené informace, které budou obsahovat zhotovitelem doporučené řešení.</w:t>
      </w:r>
    </w:p>
    <w:p w14:paraId="09F4770E" w14:textId="77777777"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0288040B" w14:textId="77777777"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14:paraId="370FD710" w14:textId="77777777"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14:paraId="75BA5C13"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14:paraId="096B3EE4"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14:paraId="72585936" w14:textId="77777777"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14:paraId="42636926" w14:textId="77777777"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7AC5AC72"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14:paraId="0C7582DC" w14:textId="77777777"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14:paraId="1329E5B3"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14:paraId="495DCB35"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14:paraId="2E499F86"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14:paraId="5979A767"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14:paraId="2B17FE73"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14:paraId="5289480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779E4FD2" w14:textId="77777777"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14:paraId="0F692C78"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14:paraId="50DBB0C3"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14:paraId="17191963"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14:paraId="38EF97B3" w14:textId="77777777"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5A9B725C"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14:paraId="187F2671" w14:textId="77777777"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lastRenderedPageBreak/>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60F2698E"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14:paraId="4EC868BE"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79671A09"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035EC362"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657A40AB" w14:textId="77777777"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w:t>
      </w:r>
      <w:r w:rsidR="00D03CA2">
        <w:rPr>
          <w:rFonts w:ascii="Arial" w:hAnsi="Arial" w:cs="Arial"/>
          <w:sz w:val="19"/>
          <w:szCs w:val="19"/>
        </w:rPr>
        <w:t>, MŽP, SFŽP,</w:t>
      </w:r>
      <w:r w:rsidRPr="00F778C2">
        <w:rPr>
          <w:rFonts w:ascii="Arial" w:hAnsi="Arial" w:cs="Arial"/>
          <w:sz w:val="19"/>
          <w:szCs w:val="19"/>
        </w:rPr>
        <w:t xml:space="preserve">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E0FD78F" w14:textId="77777777"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0CD50F4" w14:textId="77777777"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0A2EF1" w:rsidRPr="00F778C2">
        <w:rPr>
          <w:rFonts w:ascii="Arial" w:hAnsi="Arial" w:cs="Arial"/>
          <w:sz w:val="19"/>
          <w:szCs w:val="19"/>
        </w:rPr>
        <w:t>ust</w:t>
      </w:r>
      <w:proofErr w:type="spellEnd"/>
      <w:r w:rsidR="000A2EF1" w:rsidRPr="00F778C2">
        <w:rPr>
          <w:rFonts w:ascii="Arial" w:hAnsi="Arial" w:cs="Arial"/>
          <w:sz w:val="19"/>
          <w:szCs w:val="19"/>
        </w:rPr>
        <w: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FA78FD6" w14:textId="77777777"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F778C2">
        <w:rPr>
          <w:rFonts w:ascii="Arial" w:hAnsi="Arial" w:cs="Arial"/>
          <w:sz w:val="19"/>
          <w:szCs w:val="19"/>
        </w:rPr>
        <w:t>ust</w:t>
      </w:r>
      <w:proofErr w:type="spellEnd"/>
      <w:r w:rsidR="00177568" w:rsidRPr="00F778C2">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1A45CD80" w14:textId="77777777"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02E9694B" w14:textId="77777777"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14:paraId="4F7901CA" w14:textId="77777777"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14:paraId="70468E47"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lastRenderedPageBreak/>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14:paraId="5DCD4036" w14:textId="77777777"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14:paraId="262552BA" w14:textId="77777777"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14:paraId="00E36DC2" w14:textId="77777777" w:rsidR="00F9104C" w:rsidRPr="00F778C2" w:rsidRDefault="00F9104C" w:rsidP="00F9104C">
      <w:pPr>
        <w:ind w:left="567" w:hanging="567"/>
        <w:jc w:val="both"/>
        <w:rPr>
          <w:rFonts w:ascii="Arial" w:hAnsi="Arial" w:cs="Arial"/>
          <w:sz w:val="19"/>
          <w:szCs w:val="19"/>
        </w:rPr>
      </w:pPr>
    </w:p>
    <w:p w14:paraId="2FF66A31"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14:paraId="1B54B4EB"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1BAD558E"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63B7F0ED"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14:paraId="22A2AF78"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14:paraId="56325806"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14:paraId="6467B851" w14:textId="77777777"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7A16E8F8" w14:textId="77777777"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14:paraId="5BF4615C" w14:textId="77777777"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4947FC95"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14:paraId="69B1CB20"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64CA7326"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45B0618E"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do zpracování zapojit </w:t>
      </w:r>
      <w:proofErr w:type="spellStart"/>
      <w:r w:rsidRPr="00F778C2">
        <w:rPr>
          <w:rFonts w:ascii="Arial" w:hAnsi="Arial" w:cs="Arial"/>
          <w:sz w:val="19"/>
          <w:szCs w:val="19"/>
        </w:rPr>
        <w:t>podzhotovitele</w:t>
      </w:r>
      <w:proofErr w:type="spellEnd"/>
      <w:r w:rsidRPr="00F778C2">
        <w:rPr>
          <w:rFonts w:ascii="Arial" w:hAnsi="Arial" w:cs="Arial"/>
          <w:sz w:val="19"/>
          <w:szCs w:val="19"/>
        </w:rPr>
        <w:t xml:space="preserve"> pouze na základě předchozího písemného souhlasu Objednatele;</w:t>
      </w:r>
    </w:p>
    <w:p w14:paraId="1A9B5BE1"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se zavazuje s těmito </w:t>
      </w:r>
      <w:proofErr w:type="spellStart"/>
      <w:r w:rsidRPr="00F778C2">
        <w:rPr>
          <w:rFonts w:ascii="Arial" w:hAnsi="Arial" w:cs="Arial"/>
          <w:sz w:val="19"/>
          <w:szCs w:val="19"/>
        </w:rPr>
        <w:t>podzhotoviteli</w:t>
      </w:r>
      <w:proofErr w:type="spellEnd"/>
      <w:r w:rsidRPr="00F778C2">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F778C2">
        <w:rPr>
          <w:rFonts w:ascii="Arial" w:hAnsi="Arial" w:cs="Arial"/>
          <w:sz w:val="19"/>
          <w:szCs w:val="19"/>
        </w:rPr>
        <w:t>podzhotovitelem</w:t>
      </w:r>
      <w:proofErr w:type="spellEnd"/>
      <w:r w:rsidRPr="00F778C2">
        <w:rPr>
          <w:rFonts w:ascii="Arial" w:hAnsi="Arial" w:cs="Arial"/>
          <w:sz w:val="19"/>
          <w:szCs w:val="19"/>
        </w:rPr>
        <w:t>;</w:t>
      </w:r>
    </w:p>
    <w:p w14:paraId="552091AA"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5D81192C"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3CAF94D6"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36EDA624"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lastRenderedPageBreak/>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60B8918" w14:textId="77777777"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13974BA4"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2E3D97F7" w14:textId="77777777"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14:paraId="0BFB99DA"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14:paraId="4E49FFBC"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14:paraId="07E4AA57"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6A677351"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14:paraId="1DBFCE9B"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14:paraId="6265E487" w14:textId="77777777"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FCEF2C"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14:paraId="77706CE8"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14:paraId="2F0EFF49"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14:paraId="6D6468DC" w14:textId="77777777"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4017BBDB"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14:paraId="698E84D1"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1B8A31FA"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lastRenderedPageBreak/>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14:paraId="1FABF473" w14:textId="77777777"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177568" w:rsidRPr="00177568">
        <w:rPr>
          <w:rFonts w:ascii="Arial" w:eastAsia="Calibri" w:hAnsi="Arial" w:cs="Arial"/>
          <w:sz w:val="19"/>
          <w:szCs w:val="19"/>
          <w:lang w:eastAsia="en-US"/>
        </w:rPr>
        <w:t>ust</w:t>
      </w:r>
      <w:proofErr w:type="spellEnd"/>
      <w:r w:rsidR="00177568"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14:paraId="22CDB533" w14:textId="77777777"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48AD1BB3" w14:textId="77777777" w:rsidR="00F9104C" w:rsidRPr="00F778C2" w:rsidRDefault="00F9104C" w:rsidP="00F9104C">
      <w:pPr>
        <w:spacing w:after="120"/>
        <w:ind w:left="567" w:right="-2" w:hanging="709"/>
        <w:jc w:val="both"/>
        <w:rPr>
          <w:rFonts w:ascii="Arial" w:hAnsi="Arial" w:cs="Arial"/>
          <w:sz w:val="19"/>
          <w:szCs w:val="19"/>
        </w:rPr>
      </w:pPr>
      <w:r w:rsidRPr="00F778C2">
        <w:rPr>
          <w:rFonts w:ascii="Arial" w:eastAsia="Calibri" w:hAnsi="Arial" w:cs="Arial"/>
          <w:b/>
          <w:sz w:val="19"/>
          <w:szCs w:val="19"/>
          <w:lang w:eastAsia="en-US"/>
        </w:rPr>
        <w:t>12.17</w:t>
      </w:r>
      <w:r w:rsidRPr="00F778C2">
        <w:rPr>
          <w:rFonts w:ascii="Arial" w:hAnsi="Arial" w:cs="Arial"/>
          <w:sz w:val="19"/>
          <w:szCs w:val="19"/>
        </w:rPr>
        <w:tab/>
        <w:t>Smluvní strany potvrzují, že uzavření této Smlouvy je výsledkem jednání smluvních stran a každá ze smluvních stran měla příležitost ovlivnit obsah této Smlouvy.</w:t>
      </w:r>
    </w:p>
    <w:p w14:paraId="340C8861" w14:textId="77777777"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 xml:space="preserve">12.18. </w:t>
      </w:r>
      <w:r w:rsidRPr="00F778C2">
        <w:rPr>
          <w:rFonts w:ascii="Arial" w:hAnsi="Arial" w:cs="Arial"/>
          <w:b/>
          <w:sz w:val="19"/>
          <w:szCs w:val="19"/>
        </w:rPr>
        <w:tab/>
      </w:r>
      <w:r w:rsidRPr="00F778C2">
        <w:rPr>
          <w:rFonts w:ascii="Arial" w:hAnsi="Arial" w:cs="Arial"/>
          <w:sz w:val="19"/>
          <w:szCs w:val="19"/>
        </w:rPr>
        <w:t>Tato Smlouva je vyhotovena ve</w:t>
      </w:r>
      <w:r w:rsidRPr="00F778C2">
        <w:rPr>
          <w:rFonts w:ascii="Arial" w:hAnsi="Arial" w:cs="Arial"/>
          <w:b/>
          <w:sz w:val="19"/>
          <w:szCs w:val="19"/>
        </w:rPr>
        <w:t xml:space="preserve"> čtyřech (4)</w:t>
      </w:r>
      <w:r w:rsidRPr="00F778C2">
        <w:rPr>
          <w:rFonts w:ascii="Arial" w:hAnsi="Arial" w:cs="Arial"/>
          <w:sz w:val="19"/>
          <w:szCs w:val="19"/>
        </w:rPr>
        <w:t xml:space="preserve"> vyhotoveních, z nichž </w:t>
      </w:r>
      <w:r w:rsidRPr="00F778C2">
        <w:rPr>
          <w:rFonts w:ascii="Arial" w:hAnsi="Arial" w:cs="Arial"/>
          <w:b/>
          <w:sz w:val="19"/>
          <w:szCs w:val="19"/>
        </w:rPr>
        <w:t>dvě (2)</w:t>
      </w:r>
      <w:r w:rsidRPr="00F778C2">
        <w:rPr>
          <w:rFonts w:ascii="Arial" w:hAnsi="Arial" w:cs="Arial"/>
          <w:sz w:val="19"/>
          <w:szCs w:val="19"/>
        </w:rPr>
        <w:t xml:space="preserve"> vyhotovení obdrží objednatel a </w:t>
      </w:r>
      <w:r w:rsidRPr="00F778C2">
        <w:rPr>
          <w:rFonts w:ascii="Arial" w:hAnsi="Arial" w:cs="Arial"/>
          <w:b/>
          <w:sz w:val="19"/>
          <w:szCs w:val="19"/>
        </w:rPr>
        <w:t>dvě (2)</w:t>
      </w:r>
      <w:r w:rsidRPr="00F778C2">
        <w:rPr>
          <w:rFonts w:ascii="Arial" w:hAnsi="Arial" w:cs="Arial"/>
          <w:sz w:val="19"/>
          <w:szCs w:val="19"/>
        </w:rPr>
        <w:t xml:space="preserve"> vyhotovení obdrží zhotovitel.</w:t>
      </w:r>
    </w:p>
    <w:p w14:paraId="5FD8CFB9" w14:textId="77777777"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12.</w:t>
      </w:r>
      <w:r w:rsidR="00F778C2" w:rsidRPr="00F778C2">
        <w:rPr>
          <w:rFonts w:ascii="Arial" w:hAnsi="Arial" w:cs="Arial"/>
          <w:b/>
          <w:sz w:val="19"/>
          <w:szCs w:val="19"/>
        </w:rPr>
        <w:t>19</w:t>
      </w:r>
      <w:r w:rsidRPr="00F778C2">
        <w:rPr>
          <w:rFonts w:ascii="Arial" w:hAnsi="Arial" w:cs="Arial"/>
          <w:b/>
          <w:sz w:val="19"/>
          <w:szCs w:val="19"/>
        </w:rPr>
        <w:t xml:space="preserve">. </w:t>
      </w:r>
      <w:r w:rsidRPr="00F778C2">
        <w:rPr>
          <w:rFonts w:ascii="Arial" w:hAnsi="Arial" w:cs="Arial"/>
          <w:b/>
          <w:sz w:val="19"/>
          <w:szCs w:val="19"/>
        </w:rPr>
        <w:tab/>
      </w:r>
      <w:r w:rsidRPr="00F778C2">
        <w:rPr>
          <w:rFonts w:ascii="Arial" w:hAnsi="Arial" w:cs="Arial"/>
          <w:sz w:val="19"/>
          <w:szCs w:val="19"/>
        </w:rPr>
        <w:t>Nedílnou součástí této Smlouvy je následující příloha:</w:t>
      </w:r>
    </w:p>
    <w:p w14:paraId="1BA5C7EC" w14:textId="77777777" w:rsidR="00F9104C" w:rsidRPr="00F778C2" w:rsidRDefault="00F9104C" w:rsidP="00F9104C">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14:paraId="41F368CC" w14:textId="77777777" w:rsidR="00F9104C" w:rsidRPr="00F778C2" w:rsidRDefault="00F9104C" w:rsidP="00F9104C">
      <w:pPr>
        <w:ind w:left="851" w:hanging="312"/>
        <w:jc w:val="both"/>
        <w:rPr>
          <w:rFonts w:ascii="Arial" w:hAnsi="Arial" w:cs="Arial"/>
          <w:sz w:val="19"/>
          <w:szCs w:val="19"/>
        </w:rPr>
      </w:pPr>
    </w:p>
    <w:p w14:paraId="32083F90" w14:textId="77777777" w:rsidR="00F9104C" w:rsidRPr="00F778C2" w:rsidRDefault="00F9104C" w:rsidP="00F9104C">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14:paraId="017B4EE8" w14:textId="77777777" w:rsidR="00F9104C" w:rsidRPr="00F778C2" w:rsidRDefault="00F9104C" w:rsidP="00F9104C">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14:paraId="728EDAB8" w14:textId="77777777" w:rsidR="00F9104C" w:rsidRPr="00F778C2" w:rsidRDefault="00F9104C" w:rsidP="00F9104C">
      <w:pPr>
        <w:ind w:left="5580" w:hanging="5580"/>
        <w:jc w:val="both"/>
        <w:rPr>
          <w:rFonts w:ascii="Arial" w:hAnsi="Arial" w:cs="Arial"/>
          <w:sz w:val="19"/>
          <w:szCs w:val="19"/>
        </w:rPr>
      </w:pPr>
      <w:r w:rsidRPr="00F778C2">
        <w:rPr>
          <w:rFonts w:ascii="Arial" w:hAnsi="Arial" w:cs="Arial"/>
          <w:sz w:val="19"/>
          <w:szCs w:val="19"/>
        </w:rPr>
        <w:t xml:space="preserve">                                                                                                    </w:t>
      </w:r>
    </w:p>
    <w:p w14:paraId="6D69A6C6" w14:textId="77777777"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14:paraId="092FEEE5" w14:textId="77777777"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14:paraId="0EEC8F80" w14:textId="77777777" w:rsidR="00F9104C" w:rsidRPr="00F778C2" w:rsidRDefault="00F9104C" w:rsidP="00F9104C">
      <w:pPr>
        <w:jc w:val="both"/>
        <w:rPr>
          <w:rFonts w:ascii="Arial" w:hAnsi="Arial" w:cs="Arial"/>
          <w:sz w:val="19"/>
          <w:szCs w:val="19"/>
        </w:rPr>
      </w:pPr>
    </w:p>
    <w:p w14:paraId="2449DFD8" w14:textId="77777777"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14:paraId="411D19BD" w14:textId="77777777" w:rsidR="00F9104C" w:rsidRPr="00F778C2" w:rsidRDefault="00F9104C" w:rsidP="00F9104C">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Ing. Petr Hofhanzl                                                                      </w:t>
      </w:r>
    </w:p>
    <w:p w14:paraId="14715150" w14:textId="77777777" w:rsidR="00F9104C" w:rsidRPr="00F778C2" w:rsidRDefault="00F9104C" w:rsidP="00F9104C">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14:paraId="5A4921E2" w14:textId="77777777" w:rsidR="00F9104C" w:rsidRPr="00F778C2" w:rsidRDefault="00F9104C" w:rsidP="00F9104C">
      <w:pPr>
        <w:rPr>
          <w:rFonts w:ascii="Arial" w:hAnsi="Arial" w:cs="Arial"/>
          <w:sz w:val="19"/>
          <w:szCs w:val="19"/>
        </w:rPr>
      </w:pPr>
      <w:r w:rsidRPr="00F778C2">
        <w:rPr>
          <w:rFonts w:ascii="Arial" w:hAnsi="Arial" w:cs="Arial"/>
          <w:sz w:val="19"/>
          <w:szCs w:val="19"/>
        </w:rPr>
        <w:t xml:space="preserve">    Stavební správa západ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       </w:t>
      </w:r>
    </w:p>
    <w:sectPr w:rsidR="00F9104C" w:rsidRPr="00F778C2"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CA98B" w14:textId="77777777" w:rsidR="00905C12" w:rsidRDefault="00905C12">
      <w:r>
        <w:separator/>
      </w:r>
    </w:p>
  </w:endnote>
  <w:endnote w:type="continuationSeparator" w:id="0">
    <w:p w14:paraId="382B97C7" w14:textId="77777777" w:rsidR="00905C12" w:rsidRDefault="0090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10A1" w14:textId="5951FFDE"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6E6E43">
      <w:rPr>
        <w:rStyle w:val="slostrnky"/>
        <w:rFonts w:ascii="Arial" w:hAnsi="Arial" w:cs="Arial"/>
        <w:i/>
        <w:noProof/>
        <w:sz w:val="16"/>
        <w:szCs w:val="18"/>
      </w:rPr>
      <w:t>3</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6E6E43">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AAD9B" w14:textId="77777777" w:rsidR="00095DED" w:rsidRDefault="00935AC5" w:rsidP="000C4A98">
    <w:pPr>
      <w:pStyle w:val="Zpat"/>
      <w:spacing w:before="120"/>
      <w:jc w:val="center"/>
      <w:rPr>
        <w:noProof/>
      </w:rPr>
    </w:pPr>
    <w:r>
      <w:rPr>
        <w:noProof/>
      </w:rPr>
      <w:t xml:space="preserve"> </w:t>
    </w:r>
  </w:p>
  <w:p w14:paraId="0D82CBA8" w14:textId="77777777"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6DCBB648"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D2198" w14:textId="77777777" w:rsidR="00905C12" w:rsidRDefault="00905C12">
      <w:r>
        <w:separator/>
      </w:r>
    </w:p>
  </w:footnote>
  <w:footnote w:type="continuationSeparator" w:id="0">
    <w:p w14:paraId="7295F8BA" w14:textId="77777777" w:rsidR="00905C12" w:rsidRDefault="00905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98BC4" w14:textId="448BECFF" w:rsidR="004F7FE3" w:rsidRPr="004F2C20" w:rsidRDefault="009B0D32" w:rsidP="003D06F9">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Rekonstrukce výpravní budovy v </w:t>
    </w:r>
    <w:proofErr w:type="spellStart"/>
    <w:r>
      <w:rPr>
        <w:rFonts w:ascii="Arial" w:eastAsia="Calibri" w:hAnsi="Arial" w:cs="Arial"/>
        <w:i/>
        <w:sz w:val="16"/>
        <w:szCs w:val="16"/>
        <w:lang w:eastAsia="en-US"/>
      </w:rPr>
      <w:t>žst</w:t>
    </w:r>
    <w:proofErr w:type="spellEnd"/>
    <w:r>
      <w:rPr>
        <w:rFonts w:ascii="Arial" w:eastAsia="Calibri" w:hAnsi="Arial" w:cs="Arial"/>
        <w:i/>
        <w:sz w:val="16"/>
        <w:szCs w:val="16"/>
        <w:lang w:eastAsia="en-US"/>
      </w:rPr>
      <w:t>. Beroun</w:t>
    </w:r>
  </w:p>
  <w:p w14:paraId="42B3AA41" w14:textId="77777777"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F3C49" w14:textId="77777777"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14:paraId="73989096"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21DF"/>
    <w:rsid w:val="001346D8"/>
    <w:rsid w:val="00134DD0"/>
    <w:rsid w:val="00135F80"/>
    <w:rsid w:val="0014553E"/>
    <w:rsid w:val="001455D3"/>
    <w:rsid w:val="0014618D"/>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2953"/>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229"/>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5405E"/>
    <w:rsid w:val="00560012"/>
    <w:rsid w:val="0056765A"/>
    <w:rsid w:val="00574223"/>
    <w:rsid w:val="00580642"/>
    <w:rsid w:val="00581999"/>
    <w:rsid w:val="00585200"/>
    <w:rsid w:val="005903EE"/>
    <w:rsid w:val="0059072C"/>
    <w:rsid w:val="00590B31"/>
    <w:rsid w:val="00595133"/>
    <w:rsid w:val="00595CB9"/>
    <w:rsid w:val="005A1C5D"/>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5983"/>
    <w:rsid w:val="005F6242"/>
    <w:rsid w:val="0060340C"/>
    <w:rsid w:val="006045A1"/>
    <w:rsid w:val="00606046"/>
    <w:rsid w:val="0060697A"/>
    <w:rsid w:val="00613BE5"/>
    <w:rsid w:val="006148AA"/>
    <w:rsid w:val="006172F8"/>
    <w:rsid w:val="006202E0"/>
    <w:rsid w:val="0062718A"/>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E6E43"/>
    <w:rsid w:val="006F34AB"/>
    <w:rsid w:val="006F5B3A"/>
    <w:rsid w:val="00700DE4"/>
    <w:rsid w:val="00703BB5"/>
    <w:rsid w:val="0071464C"/>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B70A5"/>
    <w:rsid w:val="007C07E1"/>
    <w:rsid w:val="007C6A89"/>
    <w:rsid w:val="007C6C7A"/>
    <w:rsid w:val="007C7477"/>
    <w:rsid w:val="007D4B0A"/>
    <w:rsid w:val="007D60E5"/>
    <w:rsid w:val="007E223F"/>
    <w:rsid w:val="007E5404"/>
    <w:rsid w:val="007E66F8"/>
    <w:rsid w:val="007E6810"/>
    <w:rsid w:val="007F4B8E"/>
    <w:rsid w:val="00802512"/>
    <w:rsid w:val="00805C88"/>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05C12"/>
    <w:rsid w:val="00914107"/>
    <w:rsid w:val="009157A6"/>
    <w:rsid w:val="00922347"/>
    <w:rsid w:val="00924644"/>
    <w:rsid w:val="009275BC"/>
    <w:rsid w:val="009313AD"/>
    <w:rsid w:val="00931658"/>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0D32"/>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E7D9D"/>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3CA2"/>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A63EE"/>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47391"/>
    <w:rsid w:val="00E5034B"/>
    <w:rsid w:val="00E52B09"/>
    <w:rsid w:val="00E57F80"/>
    <w:rsid w:val="00E613EF"/>
    <w:rsid w:val="00E61775"/>
    <w:rsid w:val="00E62409"/>
    <w:rsid w:val="00E62A4C"/>
    <w:rsid w:val="00E6575F"/>
    <w:rsid w:val="00E70118"/>
    <w:rsid w:val="00E731B0"/>
    <w:rsid w:val="00E763A9"/>
    <w:rsid w:val="00E770E9"/>
    <w:rsid w:val="00E778A2"/>
    <w:rsid w:val="00E8426C"/>
    <w:rsid w:val="00E854C6"/>
    <w:rsid w:val="00E87E92"/>
    <w:rsid w:val="00E914BF"/>
    <w:rsid w:val="00E95A4C"/>
    <w:rsid w:val="00EA4309"/>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989"/>
    <w:rsid w:val="00F83C5C"/>
    <w:rsid w:val="00F84FF9"/>
    <w:rsid w:val="00F850F1"/>
    <w:rsid w:val="00F85CFC"/>
    <w:rsid w:val="00F86C18"/>
    <w:rsid w:val="00F9104C"/>
    <w:rsid w:val="00FA0D1A"/>
    <w:rsid w:val="00FA17EE"/>
    <w:rsid w:val="00FA2A5B"/>
    <w:rsid w:val="00FA7FFD"/>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B69C9"/>
  <w15:docId w15:val="{6218846B-36B7-4DC6-B388-43DE9C295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F7979-37F0-4608-A05A-E89DB58E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11</Pages>
  <Words>5633</Words>
  <Characters>33239</Characters>
  <Application>Microsoft Office Word</Application>
  <DocSecurity>0</DocSecurity>
  <Lines>276</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38795</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Klomfarová Jana, Ing.</cp:lastModifiedBy>
  <cp:revision>4</cp:revision>
  <cp:lastPrinted>2018-01-05T07:16:00Z</cp:lastPrinted>
  <dcterms:created xsi:type="dcterms:W3CDTF">2020-09-02T13:10:00Z</dcterms:created>
  <dcterms:modified xsi:type="dcterms:W3CDTF">2020-09-08T12:01:00Z</dcterms:modified>
</cp:coreProperties>
</file>